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3689C" w14:textId="23120115" w:rsidR="00443850" w:rsidRDefault="005D5A11" w:rsidP="00982AEE">
      <w:pPr>
        <w:spacing w:after="480" w:line="259" w:lineRule="auto"/>
        <w:ind w:left="0" w:right="0" w:firstLine="0"/>
        <w:jc w:val="center"/>
      </w:pPr>
      <w:r>
        <w:rPr>
          <w:rFonts w:ascii="Calibri" w:eastAsia="Calibri" w:hAnsi="Calibri" w:cs="Calibri"/>
          <w:b/>
          <w:sz w:val="40"/>
        </w:rPr>
        <w:t>Procédure de plainte</w:t>
      </w:r>
    </w:p>
    <w:p w14:paraId="58C0EE21" w14:textId="2CC35905" w:rsidR="00443850" w:rsidRDefault="00247AB6">
      <w:pPr>
        <w:spacing w:after="248"/>
        <w:ind w:left="1042" w:right="0"/>
      </w:pPr>
      <w:r>
        <w:t xml:space="preserve">Accelerant Insurance </w:t>
      </w:r>
      <w:proofErr w:type="spellStart"/>
      <w:r>
        <w:t>Company</w:t>
      </w:r>
      <w:proofErr w:type="spellEnd"/>
      <w:r>
        <w:t xml:space="preserve"> of Canada (AICC) </w:t>
      </w:r>
      <w:r w:rsidR="005D5A11">
        <w:t xml:space="preserve">s'engage à offrir des niveaux constants et fiables de service à la clientèle, à agir avec intégrité, diligence raisonnable, compétence et diligence, à être ouvert et honnête dans ses communications et à traiter les plaintes et les préoccupations de manière équitable et rapide. </w:t>
      </w:r>
    </w:p>
    <w:p w14:paraId="7C7C506F" w14:textId="3852BB2C" w:rsidR="00443850" w:rsidRDefault="005D5A11">
      <w:pPr>
        <w:spacing w:after="248"/>
        <w:ind w:left="1042" w:right="0"/>
      </w:pPr>
      <w:r>
        <w:t xml:space="preserve">Cette procédure de plainte a été établie pour répondre à une préoccupation ou à une plainte que vous pourriez avoir avec un produit d'assurance et / ou un autre service fourni par un tiers au nom de AICC.  </w:t>
      </w:r>
    </w:p>
    <w:p w14:paraId="4826BA78" w14:textId="77777777" w:rsidR="00443850" w:rsidRDefault="005D5A11">
      <w:pPr>
        <w:ind w:left="1042" w:right="0"/>
      </w:pPr>
      <w:r>
        <w:t xml:space="preserve">Définition de la plainte </w:t>
      </w:r>
    </w:p>
    <w:p w14:paraId="10CC6916" w14:textId="77777777" w:rsidR="00443850" w:rsidRDefault="005D5A11">
      <w:pPr>
        <w:spacing w:after="149"/>
        <w:ind w:left="1042" w:right="0"/>
      </w:pPr>
      <w:r>
        <w:t xml:space="preserve">Une plainte est définie comme l'expression d'au moins un des éléments suivants : </w:t>
      </w:r>
    </w:p>
    <w:p w14:paraId="0CE81C28" w14:textId="22577ABF" w:rsidR="00443850" w:rsidRDefault="005D5A11">
      <w:pPr>
        <w:numPr>
          <w:ilvl w:val="0"/>
          <w:numId w:val="1"/>
        </w:numPr>
        <w:spacing w:after="152"/>
        <w:ind w:left="1753" w:right="0" w:hanging="425"/>
      </w:pPr>
      <w:r>
        <w:t xml:space="preserve">Un reproche lié à la fourniture, ou à l'omission de fournir, les produits ou services de AICC, y compris, mais sans s'y limiter, les pratiques commerciales déloyales, la conduite en violation de la loi ou de la réglementation applicable, ou la conduite contraire à l'éthique. </w:t>
      </w:r>
    </w:p>
    <w:p w14:paraId="3F8CCF9F" w14:textId="77777777" w:rsidR="00443850" w:rsidRDefault="005D5A11">
      <w:pPr>
        <w:numPr>
          <w:ilvl w:val="0"/>
          <w:numId w:val="1"/>
        </w:numPr>
        <w:spacing w:after="151"/>
        <w:ind w:left="1753" w:right="0" w:hanging="425"/>
      </w:pPr>
      <w:r>
        <w:t xml:space="preserve">L'identification des préjudices réels ou potentiels qu'un consommateur a subis ou pourrait subir. </w:t>
      </w:r>
    </w:p>
    <w:p w14:paraId="1805DD3B" w14:textId="77777777" w:rsidR="00443850" w:rsidRDefault="005D5A11">
      <w:pPr>
        <w:numPr>
          <w:ilvl w:val="0"/>
          <w:numId w:val="1"/>
        </w:numPr>
        <w:spacing w:after="75"/>
        <w:ind w:left="1753" w:right="0" w:hanging="425"/>
      </w:pPr>
      <w:r>
        <w:t xml:space="preserve">Une demande de mesures correctives. </w:t>
      </w:r>
    </w:p>
    <w:p w14:paraId="3404EB70" w14:textId="77777777" w:rsidR="00443850" w:rsidRDefault="005D5A11">
      <w:pPr>
        <w:spacing w:after="230"/>
        <w:ind w:left="1042" w:right="0"/>
      </w:pPr>
      <w:r>
        <w:t xml:space="preserve">L'expression initiale d'insatisfaction de votre part, que ce soit par écrit ou autrement, ne sera pas considérée comme une plainte lorsque la question est réglée dans le cours normal des affaires. </w:t>
      </w:r>
    </w:p>
    <w:p w14:paraId="3BC8FAB5" w14:textId="77777777" w:rsidR="00443850" w:rsidRDefault="005D5A11">
      <w:pPr>
        <w:spacing w:after="248"/>
        <w:ind w:left="1042" w:right="0"/>
      </w:pPr>
      <w:r>
        <w:t xml:space="preserve">Pour résoudre toute préoccupation ou plainte de manière efficiente, efficace et en temps opportun, le processus de renvoi à l'échelon suivant - décrit ci-dessous - doit être suivi. </w:t>
      </w:r>
    </w:p>
    <w:p w14:paraId="2846D57C" w14:textId="77777777" w:rsidR="00443850" w:rsidRDefault="005D5A11">
      <w:pPr>
        <w:pStyle w:val="Titre1"/>
        <w:ind w:left="1042"/>
      </w:pPr>
      <w:r>
        <w:t xml:space="preserve">Étape 1 : Premier contact avec le courtier, l'agent ou l'expert en sinistres ou le représentant des réclamations </w:t>
      </w:r>
    </w:p>
    <w:p w14:paraId="4078C6D2" w14:textId="77777777" w:rsidR="00443850" w:rsidRDefault="005D5A11">
      <w:pPr>
        <w:spacing w:after="232"/>
        <w:ind w:left="1042" w:right="0"/>
      </w:pPr>
      <w:r>
        <w:t xml:space="preserve">Nous vous encourageons à essayer de résoudre toute préoccupation ou plainte que vous pourriez avoir par l'intermédiaire du courtier, de l'agent ou de l'expert en sinistre ou du représentant en sinistre qui traite de votre réclamation. Si votre préoccupation ou votre plainte n'est pas résolue à votre satisfaction, et si vous souhaitez aggraver l'affaire, vous devriez d'abord demander à parler à un gestionnaire au niveau du courtier, de l'agent ou de l'expert en sinistres / représentant des réclamations. </w:t>
      </w:r>
    </w:p>
    <w:p w14:paraId="747038C8" w14:textId="6C9022AC" w:rsidR="00443850" w:rsidRPr="008600AF" w:rsidRDefault="005D5A11" w:rsidP="008600AF">
      <w:pPr>
        <w:spacing w:after="232"/>
        <w:ind w:left="1042" w:right="0"/>
        <w:rPr>
          <w:i/>
          <w:iCs/>
        </w:rPr>
      </w:pPr>
      <w:r w:rsidRPr="008600AF">
        <w:rPr>
          <w:i/>
          <w:iCs/>
        </w:rPr>
        <w:t>Si votre préoccupation ou votre plainte n'est toujours pas résolue, vous devriez être informé du</w:t>
      </w:r>
      <w:r w:rsidR="008600AF" w:rsidRPr="008600AF">
        <w:rPr>
          <w:i/>
          <w:iCs/>
        </w:rPr>
        <w:t xml:space="preserve"> </w:t>
      </w:r>
      <w:r w:rsidRPr="008600AF">
        <w:rPr>
          <w:i/>
          <w:iCs/>
        </w:rPr>
        <w:t xml:space="preserve">processus établi à l'étape 2. </w:t>
      </w:r>
    </w:p>
    <w:p w14:paraId="501EF6B7" w14:textId="369C9300" w:rsidR="008600AF" w:rsidRPr="008600AF" w:rsidRDefault="005D5A11" w:rsidP="008600AF">
      <w:pPr>
        <w:pStyle w:val="Sansinterligne"/>
        <w:rPr>
          <w:b/>
          <w:u w:val="single" w:color="000000"/>
        </w:rPr>
      </w:pPr>
      <w:r w:rsidRPr="008600AF">
        <w:rPr>
          <w:b/>
          <w:u w:val="single" w:color="000000"/>
        </w:rPr>
        <w:t>Étape 2 : Communiquez avec le Bureau de liaison pour les</w:t>
      </w:r>
      <w:r w:rsidR="008600AF" w:rsidRPr="008600AF">
        <w:rPr>
          <w:b/>
          <w:u w:val="single" w:color="000000"/>
        </w:rPr>
        <w:t xml:space="preserve"> </w:t>
      </w:r>
      <w:r w:rsidRPr="008600AF">
        <w:rPr>
          <w:b/>
          <w:u w:val="single" w:color="000000"/>
        </w:rPr>
        <w:t xml:space="preserve">plaintes de AICC </w:t>
      </w:r>
    </w:p>
    <w:p w14:paraId="439DF1D8" w14:textId="77777777" w:rsidR="008600AF" w:rsidRDefault="008600AF" w:rsidP="008600AF">
      <w:pPr>
        <w:pStyle w:val="Sansinterligne"/>
      </w:pPr>
    </w:p>
    <w:p w14:paraId="103F5056" w14:textId="4A358265" w:rsidR="00443850" w:rsidRDefault="005D5A11" w:rsidP="008600AF">
      <w:r w:rsidRPr="008600AF">
        <w:t>Le Bureau de liaison des plaintes de</w:t>
      </w:r>
      <w:r>
        <w:t xml:space="preserve"> AICC peut être contacté par : </w:t>
      </w:r>
    </w:p>
    <w:p w14:paraId="67F9BA7F" w14:textId="77777777" w:rsidR="00443850" w:rsidRDefault="005D5A11" w:rsidP="008600AF">
      <w:r>
        <w:t xml:space="preserve">Courrier ou messagerie :         </w:t>
      </w:r>
    </w:p>
    <w:p w14:paraId="7274905F" w14:textId="77777777" w:rsidR="00443850" w:rsidRDefault="005D5A11">
      <w:pPr>
        <w:ind w:left="1042" w:right="0"/>
      </w:pPr>
      <w:r>
        <w:t xml:space="preserve">34, rue King Est, bureau 1200 </w:t>
      </w:r>
    </w:p>
    <w:p w14:paraId="7CD37E79" w14:textId="77777777" w:rsidR="00443850" w:rsidRPr="00EB00F0" w:rsidRDefault="005D5A11">
      <w:pPr>
        <w:ind w:left="1042" w:right="0"/>
        <w:rPr>
          <w:lang w:val="it-IT"/>
        </w:rPr>
      </w:pPr>
      <w:r w:rsidRPr="00EB00F0">
        <w:rPr>
          <w:lang w:val="it-IT"/>
        </w:rPr>
        <w:t xml:space="preserve">Toronto (Ontario), Canada </w:t>
      </w:r>
    </w:p>
    <w:p w14:paraId="58A7F2CC" w14:textId="77777777" w:rsidR="00443850" w:rsidRPr="00EB00F0" w:rsidRDefault="005D5A11">
      <w:pPr>
        <w:ind w:left="1042" w:right="0"/>
        <w:rPr>
          <w:lang w:val="it-IT"/>
        </w:rPr>
      </w:pPr>
      <w:r w:rsidRPr="00EB00F0">
        <w:rPr>
          <w:lang w:val="it-IT"/>
        </w:rPr>
        <w:t xml:space="preserve">M5C 2X8 </w:t>
      </w:r>
    </w:p>
    <w:p w14:paraId="3E1A6C47" w14:textId="77777777" w:rsidR="00443850" w:rsidRPr="00EB00F0" w:rsidRDefault="005D5A11">
      <w:pPr>
        <w:spacing w:after="98" w:line="259" w:lineRule="auto"/>
        <w:ind w:left="1042" w:right="0"/>
        <w:jc w:val="left"/>
        <w:rPr>
          <w:lang w:val="it-IT"/>
        </w:rPr>
      </w:pPr>
      <w:proofErr w:type="spellStart"/>
      <w:r w:rsidRPr="00EB00F0">
        <w:rPr>
          <w:lang w:val="it-IT"/>
        </w:rPr>
        <w:lastRenderedPageBreak/>
        <w:t>Courriel</w:t>
      </w:r>
      <w:proofErr w:type="spellEnd"/>
      <w:r w:rsidRPr="00EB00F0">
        <w:rPr>
          <w:lang w:val="it-IT"/>
        </w:rPr>
        <w:t xml:space="preserve"> : </w:t>
      </w:r>
      <w:r w:rsidRPr="00EB00F0">
        <w:rPr>
          <w:color w:val="0000FF"/>
          <w:u w:val="single" w:color="0000FF"/>
          <w:lang w:val="it-IT"/>
        </w:rPr>
        <w:t xml:space="preserve">ca.contact@accelins.com </w:t>
      </w:r>
    </w:p>
    <w:p w14:paraId="16B8B66A" w14:textId="77777777" w:rsidR="00443850" w:rsidRDefault="005D5A11">
      <w:pPr>
        <w:ind w:left="1042" w:right="0"/>
      </w:pPr>
      <w:r>
        <w:t xml:space="preserve">Téléphone : 1 (866) 479-2813 </w:t>
      </w:r>
    </w:p>
    <w:p w14:paraId="180FDD17" w14:textId="0F2C305E" w:rsidR="00443850" w:rsidRDefault="00443850" w:rsidP="008600AF">
      <w:pPr>
        <w:spacing w:after="98" w:line="259" w:lineRule="auto"/>
        <w:ind w:right="0"/>
        <w:jc w:val="left"/>
      </w:pPr>
    </w:p>
    <w:p w14:paraId="5E0458D6" w14:textId="77777777" w:rsidR="008600AF" w:rsidRDefault="005D5A11">
      <w:pPr>
        <w:spacing w:after="95" w:line="305" w:lineRule="auto"/>
        <w:ind w:left="1042" w:right="592"/>
      </w:pPr>
      <w:r>
        <w:t>Pour examiner et évaluer une préoccupation ou une plainte aussi efficacement que possible, vous devez fournir les renseignements suivants :</w:t>
      </w:r>
    </w:p>
    <w:p w14:paraId="35CEA351" w14:textId="77777777" w:rsidR="008600AF" w:rsidRDefault="005D5A11" w:rsidP="008600AF">
      <w:pPr>
        <w:pStyle w:val="Paragraphedeliste"/>
        <w:numPr>
          <w:ilvl w:val="0"/>
          <w:numId w:val="3"/>
        </w:numPr>
        <w:spacing w:after="95" w:line="305" w:lineRule="auto"/>
        <w:ind w:right="592"/>
      </w:pPr>
      <w:r>
        <w:t xml:space="preserve">Numéro de la police. </w:t>
      </w:r>
    </w:p>
    <w:p w14:paraId="11D114EE" w14:textId="77777777" w:rsidR="008600AF" w:rsidRDefault="005D5A11" w:rsidP="008600AF">
      <w:pPr>
        <w:pStyle w:val="Paragraphedeliste"/>
        <w:numPr>
          <w:ilvl w:val="0"/>
          <w:numId w:val="3"/>
        </w:numPr>
        <w:spacing w:after="95" w:line="305" w:lineRule="auto"/>
        <w:ind w:right="592"/>
      </w:pPr>
      <w:r>
        <w:t xml:space="preserve">Numéro de réclamation (s'il y a lieu) </w:t>
      </w:r>
    </w:p>
    <w:p w14:paraId="5FBE5A00" w14:textId="6197A63B" w:rsidR="00443850" w:rsidRDefault="005D5A11" w:rsidP="008600AF">
      <w:pPr>
        <w:pStyle w:val="Paragraphedeliste"/>
        <w:numPr>
          <w:ilvl w:val="0"/>
          <w:numId w:val="3"/>
        </w:numPr>
        <w:spacing w:after="95" w:line="305" w:lineRule="auto"/>
        <w:ind w:right="592"/>
      </w:pPr>
      <w:r>
        <w:t xml:space="preserve">Coordonnées complètes (y compris le nom, l'adresse et le numéro de téléphone) ; et </w:t>
      </w:r>
    </w:p>
    <w:p w14:paraId="248F9A01" w14:textId="3EC6AD9F" w:rsidR="00443850" w:rsidRDefault="005D5A11" w:rsidP="008600AF">
      <w:pPr>
        <w:pStyle w:val="Paragraphedeliste"/>
        <w:numPr>
          <w:ilvl w:val="0"/>
          <w:numId w:val="3"/>
        </w:numPr>
        <w:ind w:right="0"/>
      </w:pPr>
      <w:r>
        <w:t xml:space="preserve">Description de votre préoccupation ou de votre plainte, y compris les résultats de la tentative de résoudre le problème conformément au processus décrit à l'étape 1. </w:t>
      </w:r>
    </w:p>
    <w:p w14:paraId="3413D056" w14:textId="331CD6FD" w:rsidR="00443850" w:rsidRDefault="005D5A11">
      <w:pPr>
        <w:ind w:left="1042" w:right="0"/>
      </w:pPr>
      <w:r>
        <w:t xml:space="preserve">AICC accusera réception d'une préoccupation ou d'une plainte dans les dix (10) jours ouvrables suivant sa réception et cherchera à résoudre une préoccupation ou une plainte dans les trente (30) jours suivant la réception de tous les renseignements nécessaires pour examiner correctement la substance de la préoccupation ou de la plainte. </w:t>
      </w:r>
    </w:p>
    <w:p w14:paraId="772C4104" w14:textId="4AB81C69" w:rsidR="00443850" w:rsidRDefault="005D5A11">
      <w:pPr>
        <w:spacing w:after="248"/>
        <w:ind w:left="1042" w:right="0"/>
      </w:pPr>
      <w:r>
        <w:t xml:space="preserve">Après réception de tous les renseignements requis, une lettre de position finale vous sera envoyée dans laquelle AICC exposera les conclusions de son examen et les motifs de sa décision. </w:t>
      </w:r>
    </w:p>
    <w:p w14:paraId="77C7251E" w14:textId="1C146A14" w:rsidR="00443850" w:rsidRDefault="005D5A11">
      <w:pPr>
        <w:ind w:left="1042" w:right="0"/>
      </w:pPr>
      <w:r>
        <w:t xml:space="preserve">Si, après que le Bureau de liaison des plaintes de AICC a publié sa lettre de position finale, vous demeurez insatisfait de la décision, vous pouvez choisir de transmettre votre plainte ou votre préoccupation en obtenant une aide externe ou indépendante d'une ou de plusieurs des organisations décrites à l </w:t>
      </w:r>
      <w:r>
        <w:rPr>
          <w:i/>
        </w:rPr>
        <w:t>'étape 3</w:t>
      </w:r>
      <w:r>
        <w:t xml:space="preserve">. </w:t>
      </w:r>
    </w:p>
    <w:p w14:paraId="2DE7FB0B" w14:textId="77777777" w:rsidR="00443850" w:rsidRDefault="005D5A11">
      <w:pPr>
        <w:pStyle w:val="Titre1"/>
        <w:spacing w:after="215"/>
        <w:ind w:left="1042"/>
      </w:pPr>
      <w:r>
        <w:t xml:space="preserve">Étape 3 : Aide externe/indépendante </w:t>
      </w:r>
    </w:p>
    <w:p w14:paraId="37969450" w14:textId="2374C56E" w:rsidR="00443850" w:rsidRDefault="005D5A11">
      <w:pPr>
        <w:spacing w:after="98" w:line="259" w:lineRule="auto"/>
        <w:ind w:left="1042" w:right="0"/>
        <w:jc w:val="left"/>
      </w:pPr>
      <w:r>
        <w:rPr>
          <w:b/>
        </w:rPr>
        <w:t>Service de conciliation</w:t>
      </w:r>
      <w:r w:rsidR="00525401">
        <w:rPr>
          <w:b/>
        </w:rPr>
        <w:t xml:space="preserve"> en assurance de dommages</w:t>
      </w:r>
      <w:r>
        <w:rPr>
          <w:b/>
        </w:rPr>
        <w:t xml:space="preserve"> </w:t>
      </w:r>
    </w:p>
    <w:p w14:paraId="26C48732" w14:textId="5633ACBC" w:rsidR="00443850" w:rsidRDefault="005D5A11">
      <w:pPr>
        <w:ind w:left="1042" w:right="0"/>
      </w:pPr>
      <w:bookmarkStart w:id="0" w:name="_Hlk168388664"/>
      <w:r>
        <w:t xml:space="preserve">Si vous souhaitez approfondir la question, vous pouvez communiquer avec le Service de conciliation en assurance </w:t>
      </w:r>
      <w:r w:rsidR="008600AF">
        <w:t>de dommages</w:t>
      </w:r>
      <w:r>
        <w:t xml:space="preserve"> (SCAD), qui aide à résoudre les différends concernant des préoccupations ou des plaintes liées à l'assurance habitation, automobile et d'entreprise au Canada (y compris les consommateurs au Québec).  </w:t>
      </w:r>
    </w:p>
    <w:p w14:paraId="5C83639A" w14:textId="33BCBF4E" w:rsidR="00443850" w:rsidRDefault="005D5A11">
      <w:pPr>
        <w:ind w:left="1042" w:right="0"/>
      </w:pPr>
      <w:r>
        <w:t xml:space="preserve">Le </w:t>
      </w:r>
      <w:r w:rsidR="008600AF">
        <w:t>SCAD</w:t>
      </w:r>
      <w:r>
        <w:t xml:space="preserve"> est un service indépendant de règlement des différends et il n'y a pas de frais pour leurs services. La SCAD déterminera si la préoccupation ou la plainte du consommateur relève de son mandat. Il est possible de communiquer avec le SCAD en : </w:t>
      </w:r>
    </w:p>
    <w:tbl>
      <w:tblPr>
        <w:tblStyle w:val="Grilledutableau"/>
        <w:tblW w:w="0" w:type="auto"/>
        <w:tblInd w:w="1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2"/>
        <w:gridCol w:w="6432"/>
      </w:tblGrid>
      <w:tr w:rsidR="008600AF" w:rsidRPr="00525401" w14:paraId="5E10736F" w14:textId="77777777" w:rsidTr="00982AEE">
        <w:tc>
          <w:tcPr>
            <w:tcW w:w="2922" w:type="dxa"/>
          </w:tcPr>
          <w:p w14:paraId="69366597" w14:textId="2780CB2D" w:rsidR="008600AF" w:rsidRDefault="008600AF">
            <w:pPr>
              <w:ind w:left="0" w:right="0" w:firstLine="0"/>
            </w:pPr>
            <w:r>
              <w:t>Courrier ou messagerie :</w:t>
            </w:r>
          </w:p>
        </w:tc>
        <w:tc>
          <w:tcPr>
            <w:tcW w:w="6432" w:type="dxa"/>
          </w:tcPr>
          <w:p w14:paraId="37C0FD96" w14:textId="77777777" w:rsidR="008600AF" w:rsidRDefault="008600AF">
            <w:pPr>
              <w:ind w:left="0" w:right="0" w:firstLine="0"/>
              <w:rPr>
                <w:lang w:val="it-IT"/>
              </w:rPr>
            </w:pPr>
            <w:r w:rsidRPr="008600AF">
              <w:rPr>
                <w:lang w:val="it-IT"/>
              </w:rPr>
              <w:t xml:space="preserve">4711, rue </w:t>
            </w:r>
            <w:proofErr w:type="spellStart"/>
            <w:r w:rsidRPr="008600AF">
              <w:rPr>
                <w:lang w:val="it-IT"/>
              </w:rPr>
              <w:t>Yonge</w:t>
            </w:r>
            <w:proofErr w:type="spellEnd"/>
            <w:r w:rsidRPr="008600AF">
              <w:rPr>
                <w:lang w:val="it-IT"/>
              </w:rPr>
              <w:t xml:space="preserve">, 10e </w:t>
            </w:r>
            <w:proofErr w:type="spellStart"/>
            <w:r w:rsidRPr="008600AF">
              <w:rPr>
                <w:lang w:val="it-IT"/>
              </w:rPr>
              <w:t>étage</w:t>
            </w:r>
            <w:proofErr w:type="spellEnd"/>
            <w:r w:rsidRPr="008600AF">
              <w:rPr>
                <w:lang w:val="it-IT"/>
              </w:rPr>
              <w:t xml:space="preserve">.          </w:t>
            </w:r>
          </w:p>
          <w:p w14:paraId="66E443F8" w14:textId="70819F16" w:rsidR="008600AF" w:rsidRPr="008600AF" w:rsidRDefault="008600AF">
            <w:pPr>
              <w:ind w:left="0" w:right="0" w:firstLine="0"/>
              <w:rPr>
                <w:lang w:val="it-IT"/>
              </w:rPr>
            </w:pPr>
            <w:r w:rsidRPr="00EB00F0">
              <w:rPr>
                <w:lang w:val="it-IT"/>
              </w:rPr>
              <w:t>Toronto (Ontario) M2N 6K8</w:t>
            </w:r>
          </w:p>
        </w:tc>
      </w:tr>
      <w:tr w:rsidR="008600AF" w:rsidRPr="008600AF" w14:paraId="51012C92" w14:textId="77777777" w:rsidTr="00982AEE">
        <w:tc>
          <w:tcPr>
            <w:tcW w:w="2922" w:type="dxa"/>
          </w:tcPr>
          <w:p w14:paraId="38294A35" w14:textId="634232B9" w:rsidR="008600AF" w:rsidRPr="008600AF" w:rsidRDefault="0052721E">
            <w:pPr>
              <w:ind w:left="0" w:right="0" w:firstLine="0"/>
              <w:rPr>
                <w:lang w:val="it-IT"/>
              </w:rPr>
            </w:pPr>
            <w:proofErr w:type="spellStart"/>
            <w:r>
              <w:rPr>
                <w:lang w:val="it-IT"/>
              </w:rPr>
              <w:t>Courriel</w:t>
            </w:r>
            <w:proofErr w:type="spellEnd"/>
          </w:p>
        </w:tc>
        <w:tc>
          <w:tcPr>
            <w:tcW w:w="6432" w:type="dxa"/>
          </w:tcPr>
          <w:p w14:paraId="2310A7C6" w14:textId="2F559A2F" w:rsidR="008600AF" w:rsidRPr="008600AF" w:rsidRDefault="0052721E">
            <w:pPr>
              <w:ind w:left="0" w:right="0" w:firstLine="0"/>
              <w:rPr>
                <w:lang w:val="it-IT"/>
              </w:rPr>
            </w:pPr>
            <w:r w:rsidRPr="00EB00F0">
              <w:rPr>
                <w:color w:val="0000FF"/>
                <w:u w:val="single" w:color="0000FF"/>
                <w:lang w:val="it-IT"/>
              </w:rPr>
              <w:t xml:space="preserve">info@giocanada.org  </w:t>
            </w:r>
          </w:p>
        </w:tc>
      </w:tr>
      <w:tr w:rsidR="008600AF" w:rsidRPr="008600AF" w14:paraId="0EFA8C19" w14:textId="77777777" w:rsidTr="00982AEE">
        <w:tc>
          <w:tcPr>
            <w:tcW w:w="2922" w:type="dxa"/>
          </w:tcPr>
          <w:p w14:paraId="3517CE7B" w14:textId="3BEFD9C0" w:rsidR="008600AF" w:rsidRPr="008600AF" w:rsidRDefault="0052721E">
            <w:pPr>
              <w:ind w:left="0" w:right="0" w:firstLine="0"/>
              <w:rPr>
                <w:lang w:val="it-IT"/>
              </w:rPr>
            </w:pPr>
            <w:r>
              <w:t>Téléphone sans frais :</w:t>
            </w:r>
          </w:p>
        </w:tc>
        <w:tc>
          <w:tcPr>
            <w:tcW w:w="6432" w:type="dxa"/>
          </w:tcPr>
          <w:p w14:paraId="6D591EAC" w14:textId="05AC87F8" w:rsidR="008600AF" w:rsidRPr="008600AF" w:rsidRDefault="0052721E">
            <w:pPr>
              <w:ind w:left="0" w:right="0" w:firstLine="0"/>
              <w:rPr>
                <w:lang w:val="it-IT"/>
              </w:rPr>
            </w:pPr>
            <w:r>
              <w:t>1-877-225-0446</w:t>
            </w:r>
          </w:p>
        </w:tc>
      </w:tr>
      <w:tr w:rsidR="008600AF" w:rsidRPr="008600AF" w14:paraId="725FD2D5" w14:textId="77777777" w:rsidTr="00982AEE">
        <w:tc>
          <w:tcPr>
            <w:tcW w:w="2922" w:type="dxa"/>
          </w:tcPr>
          <w:p w14:paraId="3CDD45DE" w14:textId="6B2AD94A" w:rsidR="008600AF" w:rsidRPr="008600AF" w:rsidRDefault="0052721E">
            <w:pPr>
              <w:ind w:left="0" w:right="0" w:firstLine="0"/>
              <w:rPr>
                <w:lang w:val="it-IT"/>
              </w:rPr>
            </w:pPr>
            <w:r>
              <w:t>Télécopieur :</w:t>
            </w:r>
          </w:p>
        </w:tc>
        <w:tc>
          <w:tcPr>
            <w:tcW w:w="6432" w:type="dxa"/>
          </w:tcPr>
          <w:p w14:paraId="0FCE24A0" w14:textId="186D321D" w:rsidR="008600AF" w:rsidRPr="008600AF" w:rsidRDefault="0052721E">
            <w:pPr>
              <w:ind w:left="0" w:right="0" w:firstLine="0"/>
              <w:rPr>
                <w:lang w:val="it-IT"/>
              </w:rPr>
            </w:pPr>
            <w:r>
              <w:t>416-299-4261</w:t>
            </w:r>
          </w:p>
        </w:tc>
      </w:tr>
      <w:tr w:rsidR="008600AF" w:rsidRPr="0052721E" w14:paraId="21CA623F" w14:textId="77777777" w:rsidTr="00982AEE">
        <w:tc>
          <w:tcPr>
            <w:tcW w:w="2922" w:type="dxa"/>
          </w:tcPr>
          <w:p w14:paraId="612824DF" w14:textId="3EC96AB7" w:rsidR="008600AF" w:rsidRPr="0052721E" w:rsidRDefault="0052721E">
            <w:pPr>
              <w:ind w:left="0" w:right="0" w:firstLine="0"/>
            </w:pPr>
            <w:r>
              <w:t>Via leur site Web à</w:t>
            </w:r>
            <w:r>
              <w:rPr>
                <w:color w:val="545454"/>
              </w:rPr>
              <w:t> :</w:t>
            </w:r>
          </w:p>
        </w:tc>
        <w:tc>
          <w:tcPr>
            <w:tcW w:w="6432" w:type="dxa"/>
          </w:tcPr>
          <w:p w14:paraId="5C1B63A4" w14:textId="3DC01A23" w:rsidR="008600AF" w:rsidRPr="0052721E" w:rsidRDefault="00000000">
            <w:pPr>
              <w:ind w:left="0" w:right="0" w:firstLine="0"/>
            </w:pPr>
            <w:hyperlink r:id="rId7">
              <w:r w:rsidR="0052721E">
                <w:rPr>
                  <w:color w:val="0000FF"/>
                  <w:u w:val="single" w:color="0000FF"/>
                </w:rPr>
                <w:t>www.giocanada.org</w:t>
              </w:r>
            </w:hyperlink>
            <w:hyperlink r:id="rId8">
              <w:r w:rsidR="0052721E">
                <w:t xml:space="preserve"> </w:t>
              </w:r>
            </w:hyperlink>
          </w:p>
        </w:tc>
      </w:tr>
    </w:tbl>
    <w:p w14:paraId="4E93702E" w14:textId="60382714" w:rsidR="00443850" w:rsidRDefault="00443850" w:rsidP="0052721E">
      <w:pPr>
        <w:tabs>
          <w:tab w:val="center" w:pos="1317"/>
          <w:tab w:val="center" w:pos="4827"/>
        </w:tabs>
        <w:spacing w:after="98" w:line="259" w:lineRule="auto"/>
        <w:ind w:left="0" w:right="0" w:firstLine="0"/>
        <w:jc w:val="left"/>
      </w:pPr>
    </w:p>
    <w:p w14:paraId="09438495" w14:textId="65BEDC66" w:rsidR="00443850" w:rsidRDefault="005D5A11">
      <w:pPr>
        <w:spacing w:after="248"/>
        <w:ind w:left="1042" w:right="0"/>
      </w:pPr>
      <w:r>
        <w:t xml:space="preserve">Le Bureau de liaison pour les plaintes de AICC travaillera avec la SCAD et tout organisme de réglementation provincial ou fédéral applicable pour résoudre une préoccupation ou une plainte </w:t>
      </w:r>
      <w:r>
        <w:lastRenderedPageBreak/>
        <w:t xml:space="preserve">aussi efficacement que possible. La SCAD peut formuler des recommandations non contraignantes pour régler un différend.  </w:t>
      </w:r>
    </w:p>
    <w:bookmarkEnd w:id="0"/>
    <w:p w14:paraId="7E4202DF" w14:textId="77777777" w:rsidR="00443850" w:rsidRDefault="005D5A11">
      <w:pPr>
        <w:spacing w:after="98" w:line="259" w:lineRule="auto"/>
        <w:ind w:left="1042" w:right="0"/>
        <w:jc w:val="left"/>
      </w:pPr>
      <w:r>
        <w:rPr>
          <w:b/>
        </w:rPr>
        <w:t xml:space="preserve">Agence de la consommation en matière financière du Canada </w:t>
      </w:r>
    </w:p>
    <w:p w14:paraId="45750E70" w14:textId="55F59FEE" w:rsidR="00443850" w:rsidRDefault="005D5A11">
      <w:pPr>
        <w:ind w:left="1042" w:right="0"/>
      </w:pPr>
      <w:bookmarkStart w:id="1" w:name="_Hlk168388724"/>
      <w:r>
        <w:t xml:space="preserve">Si votre </w:t>
      </w:r>
      <w:r w:rsidR="0052721E">
        <w:t>plainte</w:t>
      </w:r>
      <w:r>
        <w:t xml:space="preserve"> se rapporte à une ou plusieurs des dispositions relatives aux consommateurs en vertu du Règlement sur les renseignements relatifs aux plaintes (sociétés d'assurances canadiennes) annexé à la Loi sur les sociétés d'assurances, vous pouvez communiquer avec l'Agence de la consommation en matière financière du Canada (ACFC). </w:t>
      </w:r>
    </w:p>
    <w:p w14:paraId="3EB6812B" w14:textId="33B05A5F" w:rsidR="00443850" w:rsidRDefault="005D5A11" w:rsidP="00656BEB">
      <w:pPr>
        <w:ind w:left="1042" w:right="0"/>
      </w:pPr>
      <w:r>
        <w:t xml:space="preserve">L'ACFC est chargée de protéger les droits et les intérêts des consommateurs de produits et de services financiers, y compris ceux fournis par les compagnies d'assurance, en enquêtant sur les plaintes concernant les institutions financières qui se rapportent à d'éventuelles infractions à la réglementation sur les règles sur les règles de conduite des marchés. Il peut s'agir de violations de la loi, de la réglementation, du code de conduite ou de l'engagement public. L'ACFC ne règle pas les différends individuels et n'offre pas de réparation ou d'indemnisation. AICC a déposé sa procédure de plainte auprès de l'ACFC.  </w:t>
      </w:r>
    </w:p>
    <w:p w14:paraId="3881A844" w14:textId="2368A97D" w:rsidR="0052721E" w:rsidRDefault="00982AEE" w:rsidP="00982AEE">
      <w:pPr>
        <w:ind w:left="1042" w:right="0" w:firstLine="0"/>
      </w:pPr>
      <w:r>
        <w:t xml:space="preserve">  </w:t>
      </w:r>
      <w:r w:rsidR="0052721E">
        <w:t>L</w:t>
      </w:r>
      <w:r w:rsidR="005D5A11">
        <w:t xml:space="preserve">'ACFC </w:t>
      </w:r>
      <w:r w:rsidR="0052721E">
        <w:t>peut être contactée par :</w:t>
      </w:r>
    </w:p>
    <w:tbl>
      <w:tblPr>
        <w:tblStyle w:val="Grilledutableau"/>
        <w:tblW w:w="0" w:type="auto"/>
        <w:tblInd w:w="1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0"/>
        <w:gridCol w:w="4164"/>
      </w:tblGrid>
      <w:tr w:rsidR="0052721E" w14:paraId="0515E4C4" w14:textId="77777777" w:rsidTr="00982AEE">
        <w:tc>
          <w:tcPr>
            <w:tcW w:w="5190" w:type="dxa"/>
          </w:tcPr>
          <w:p w14:paraId="56AE9ED6" w14:textId="535FFEF0" w:rsidR="0052721E" w:rsidRDefault="0052721E">
            <w:pPr>
              <w:ind w:left="0" w:right="0" w:firstLine="0"/>
            </w:pPr>
            <w:r>
              <w:rPr>
                <w:color w:val="333333"/>
              </w:rPr>
              <w:t xml:space="preserve">Courrier ou messagerie :               </w:t>
            </w:r>
          </w:p>
        </w:tc>
        <w:tc>
          <w:tcPr>
            <w:tcW w:w="4164" w:type="dxa"/>
          </w:tcPr>
          <w:p w14:paraId="3916063A" w14:textId="77777777" w:rsidR="0052721E" w:rsidRDefault="0052721E">
            <w:pPr>
              <w:ind w:left="0" w:right="0" w:firstLine="0"/>
              <w:rPr>
                <w:color w:val="333333"/>
              </w:rPr>
            </w:pPr>
            <w:r>
              <w:rPr>
                <w:color w:val="333333"/>
              </w:rPr>
              <w:t>427, avenue Laurier Ouest, 5e étage.</w:t>
            </w:r>
          </w:p>
          <w:p w14:paraId="04106C42" w14:textId="1CF9A3A2" w:rsidR="0052721E" w:rsidRDefault="0052721E">
            <w:pPr>
              <w:ind w:left="0" w:right="0" w:firstLine="0"/>
            </w:pPr>
            <w:r>
              <w:rPr>
                <w:color w:val="333333"/>
              </w:rPr>
              <w:t>Ottawa (Ontario) K1R 1B9</w:t>
            </w:r>
          </w:p>
        </w:tc>
      </w:tr>
      <w:tr w:rsidR="0052721E" w14:paraId="2F455BB5" w14:textId="77777777" w:rsidTr="00982AEE">
        <w:tc>
          <w:tcPr>
            <w:tcW w:w="5190" w:type="dxa"/>
          </w:tcPr>
          <w:p w14:paraId="33F5DCF0" w14:textId="7295C2EE" w:rsidR="0052721E" w:rsidRDefault="0052721E">
            <w:pPr>
              <w:ind w:left="0" w:right="0" w:firstLine="0"/>
            </w:pPr>
            <w:r>
              <w:rPr>
                <w:color w:val="333333"/>
              </w:rPr>
              <w:t>Téléphone sans frais (pour le service en anglais) :</w:t>
            </w:r>
          </w:p>
        </w:tc>
        <w:tc>
          <w:tcPr>
            <w:tcW w:w="4164" w:type="dxa"/>
          </w:tcPr>
          <w:p w14:paraId="7A29C3B1" w14:textId="0CBD42CA" w:rsidR="0052721E" w:rsidRDefault="0052721E">
            <w:pPr>
              <w:ind w:left="0" w:right="0" w:firstLine="0"/>
            </w:pPr>
            <w:r>
              <w:rPr>
                <w:color w:val="333333"/>
              </w:rPr>
              <w:t>1-866-461-FCA (3222)</w:t>
            </w:r>
          </w:p>
        </w:tc>
      </w:tr>
      <w:tr w:rsidR="0052721E" w14:paraId="3006BC25" w14:textId="77777777" w:rsidTr="00982AEE">
        <w:tc>
          <w:tcPr>
            <w:tcW w:w="5190" w:type="dxa"/>
          </w:tcPr>
          <w:p w14:paraId="12DBF2B8" w14:textId="27CE5B11" w:rsidR="0052721E" w:rsidRDefault="0052721E">
            <w:pPr>
              <w:ind w:left="0" w:right="0" w:firstLine="0"/>
            </w:pPr>
            <w:r>
              <w:rPr>
                <w:color w:val="333333"/>
              </w:rPr>
              <w:t>Téléphone sans frais (pour le service en français) :</w:t>
            </w:r>
          </w:p>
        </w:tc>
        <w:tc>
          <w:tcPr>
            <w:tcW w:w="4164" w:type="dxa"/>
          </w:tcPr>
          <w:p w14:paraId="1AFB26A8" w14:textId="480DAA26" w:rsidR="0052721E" w:rsidRDefault="0052721E">
            <w:pPr>
              <w:ind w:left="0" w:right="0" w:firstLine="0"/>
            </w:pPr>
            <w:r>
              <w:rPr>
                <w:color w:val="333333"/>
              </w:rPr>
              <w:t>1-866-461-ACFC (2232)</w:t>
            </w:r>
          </w:p>
        </w:tc>
      </w:tr>
      <w:tr w:rsidR="0052721E" w14:paraId="440B390B" w14:textId="77777777" w:rsidTr="00982AEE">
        <w:tc>
          <w:tcPr>
            <w:tcW w:w="5190" w:type="dxa"/>
          </w:tcPr>
          <w:p w14:paraId="0D6CAB5D" w14:textId="7F3DBBAB" w:rsidR="0052721E" w:rsidRDefault="0052721E">
            <w:pPr>
              <w:ind w:left="0" w:right="0" w:firstLine="0"/>
            </w:pPr>
            <w:r>
              <w:rPr>
                <w:color w:val="333333"/>
              </w:rPr>
              <w:t xml:space="preserve">Téléphone (pour le service à l'extérieur du Canada) :        </w:t>
            </w:r>
          </w:p>
        </w:tc>
        <w:tc>
          <w:tcPr>
            <w:tcW w:w="4164" w:type="dxa"/>
          </w:tcPr>
          <w:p w14:paraId="1CF6D30C" w14:textId="2D1506CF" w:rsidR="0052721E" w:rsidRDefault="0052721E">
            <w:pPr>
              <w:ind w:left="0" w:right="0" w:firstLine="0"/>
            </w:pPr>
            <w:r>
              <w:rPr>
                <w:color w:val="333333"/>
              </w:rPr>
              <w:t xml:space="preserve">613-960-4666  </w:t>
            </w:r>
          </w:p>
        </w:tc>
      </w:tr>
      <w:tr w:rsidR="0052721E" w14:paraId="0C8E4F0E" w14:textId="77777777" w:rsidTr="00982AEE">
        <w:tc>
          <w:tcPr>
            <w:tcW w:w="5190" w:type="dxa"/>
          </w:tcPr>
          <w:p w14:paraId="7D9831FC" w14:textId="1BA4CCF6" w:rsidR="0052721E" w:rsidRDefault="0052721E">
            <w:pPr>
              <w:ind w:left="0" w:right="0" w:firstLine="0"/>
            </w:pPr>
            <w:r>
              <w:rPr>
                <w:color w:val="333333"/>
              </w:rPr>
              <w:t>Téléimprimeur (ATS)</w:t>
            </w:r>
            <w:r>
              <w:rPr>
                <w:b/>
                <w:color w:val="333333"/>
              </w:rPr>
              <w:t xml:space="preserve">:        </w:t>
            </w:r>
          </w:p>
        </w:tc>
        <w:tc>
          <w:tcPr>
            <w:tcW w:w="4164" w:type="dxa"/>
          </w:tcPr>
          <w:p w14:paraId="52C28C54" w14:textId="11EDCEA3" w:rsidR="0052721E" w:rsidRDefault="0052721E">
            <w:pPr>
              <w:ind w:left="0" w:right="0" w:firstLine="0"/>
            </w:pPr>
            <w:r>
              <w:rPr>
                <w:color w:val="333333"/>
              </w:rPr>
              <w:t>1-866-914-6097 / 613-947-7771</w:t>
            </w:r>
          </w:p>
        </w:tc>
      </w:tr>
      <w:tr w:rsidR="0052721E" w14:paraId="6A5818AD" w14:textId="77777777" w:rsidTr="00982AEE">
        <w:tc>
          <w:tcPr>
            <w:tcW w:w="5190" w:type="dxa"/>
          </w:tcPr>
          <w:p w14:paraId="4A7B8C13" w14:textId="1AD2A433" w:rsidR="0052721E" w:rsidRDefault="0052721E">
            <w:pPr>
              <w:ind w:left="0" w:right="0" w:firstLine="0"/>
            </w:pPr>
            <w:r>
              <w:rPr>
                <w:color w:val="333333"/>
              </w:rPr>
              <w:t xml:space="preserve">Via leur site Web     </w:t>
            </w:r>
          </w:p>
        </w:tc>
        <w:tc>
          <w:tcPr>
            <w:tcW w:w="4164" w:type="dxa"/>
          </w:tcPr>
          <w:p w14:paraId="00B99364" w14:textId="731D1B65" w:rsidR="0052721E" w:rsidRDefault="00982AEE">
            <w:pPr>
              <w:ind w:left="0" w:right="0" w:firstLine="0"/>
            </w:pPr>
            <w:r>
              <w:rPr>
                <w:color w:val="333333"/>
              </w:rPr>
              <w:t>www.canada.ca/en/financial-consumer-agency</w:t>
            </w:r>
          </w:p>
        </w:tc>
      </w:tr>
      <w:tr w:rsidR="0052721E" w14:paraId="03AC3EE9" w14:textId="77777777" w:rsidTr="00982AEE">
        <w:tc>
          <w:tcPr>
            <w:tcW w:w="5190" w:type="dxa"/>
          </w:tcPr>
          <w:p w14:paraId="50B78B46" w14:textId="3C3E3442" w:rsidR="0052721E" w:rsidRDefault="0052721E">
            <w:pPr>
              <w:ind w:left="0" w:right="0" w:firstLine="0"/>
            </w:pPr>
            <w:r>
              <w:rPr>
                <w:color w:val="333333"/>
              </w:rPr>
              <w:t xml:space="preserve">Et via le service de relais vidéo :                      </w:t>
            </w:r>
          </w:p>
        </w:tc>
        <w:tc>
          <w:tcPr>
            <w:tcW w:w="4164" w:type="dxa"/>
          </w:tcPr>
          <w:p w14:paraId="2C66ED59" w14:textId="22E71A9B" w:rsidR="0052721E" w:rsidRDefault="00982AEE">
            <w:pPr>
              <w:ind w:left="0" w:right="0" w:firstLine="0"/>
            </w:pPr>
            <w:r>
              <w:t>L'ACFC accueille favorablement les appels de service par relais vidéo (SRV)</w:t>
            </w:r>
          </w:p>
        </w:tc>
      </w:tr>
    </w:tbl>
    <w:p w14:paraId="7A8619EC" w14:textId="12DC3474" w:rsidR="00443850" w:rsidRDefault="00443850" w:rsidP="00982AEE">
      <w:pPr>
        <w:ind w:left="0" w:right="0" w:firstLine="0"/>
      </w:pPr>
    </w:p>
    <w:p w14:paraId="401C6B5F" w14:textId="57E1E61F" w:rsidR="00443850" w:rsidRPr="00982AEE" w:rsidRDefault="005D5A11" w:rsidP="00982AEE">
      <w:pPr>
        <w:rPr>
          <w:b/>
          <w:bCs/>
        </w:rPr>
      </w:pPr>
      <w:r>
        <w:rPr>
          <w:rFonts w:ascii="Calibri" w:eastAsia="Calibri" w:hAnsi="Calibri" w:cs="Calibri"/>
        </w:rPr>
        <w:tab/>
      </w:r>
      <w:r w:rsidR="00982AEE" w:rsidRPr="00982AEE">
        <w:rPr>
          <w:b/>
          <w:bCs/>
        </w:rPr>
        <w:t>L</w:t>
      </w:r>
      <w:r w:rsidRPr="00982AEE">
        <w:rPr>
          <w:b/>
          <w:bCs/>
        </w:rPr>
        <w:t xml:space="preserve">'Autorité des </w:t>
      </w:r>
      <w:r w:rsidR="00586D61" w:rsidRPr="00982AEE">
        <w:rPr>
          <w:b/>
          <w:bCs/>
        </w:rPr>
        <w:t>marchés</w:t>
      </w:r>
      <w:r w:rsidRPr="00982AEE">
        <w:rPr>
          <w:b/>
          <w:bCs/>
        </w:rPr>
        <w:t xml:space="preserve"> financi</w:t>
      </w:r>
      <w:r w:rsidR="00586D61">
        <w:rPr>
          <w:b/>
          <w:bCs/>
        </w:rPr>
        <w:t>ers</w:t>
      </w:r>
      <w:r w:rsidRPr="00982AEE">
        <w:rPr>
          <w:b/>
          <w:bCs/>
          <w:color w:val="333333"/>
        </w:rPr>
        <w:t xml:space="preserve"> </w:t>
      </w:r>
    </w:p>
    <w:p w14:paraId="1D4FF654" w14:textId="77777777" w:rsidR="00443850" w:rsidRDefault="005D5A11">
      <w:pPr>
        <w:spacing w:after="116"/>
        <w:ind w:left="1042" w:right="0"/>
      </w:pPr>
      <w:r>
        <w:t xml:space="preserve">Les consommateurs du Québec peuvent demander que leur plainte soit transférée à l </w:t>
      </w:r>
      <w:r>
        <w:rPr>
          <w:color w:val="333333"/>
        </w:rPr>
        <w:t xml:space="preserve">'Autorité des marchés financiers (AMF), l'organisme mandaté par le gouvernement du Québec pour réglementer les marchés financiers du Québec et aider les consommateurs de produits et services financiers. </w:t>
      </w:r>
    </w:p>
    <w:p w14:paraId="1FA9ADB0" w14:textId="0192B635" w:rsidR="00443850" w:rsidRDefault="00982AEE">
      <w:pPr>
        <w:ind w:left="1042" w:right="0"/>
        <w:rPr>
          <w:color w:val="333333"/>
        </w:rPr>
      </w:pPr>
      <w:r>
        <w:t>L</w:t>
      </w:r>
      <w:r w:rsidR="005D5A11">
        <w:t xml:space="preserve">'Autorité </w:t>
      </w:r>
      <w:r>
        <w:t>peut être contactée par :</w:t>
      </w:r>
      <w:r w:rsidR="005D5A11">
        <w:rPr>
          <w:color w:val="333333"/>
        </w:rPr>
        <w:t xml:space="preserve"> </w:t>
      </w:r>
    </w:p>
    <w:tbl>
      <w:tblPr>
        <w:tblStyle w:val="Grilledutableau"/>
        <w:tblW w:w="0" w:type="auto"/>
        <w:tblInd w:w="1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4"/>
        <w:gridCol w:w="5870"/>
      </w:tblGrid>
      <w:tr w:rsidR="001B2867" w14:paraId="5D74B522" w14:textId="77777777" w:rsidTr="001B2867">
        <w:tc>
          <w:tcPr>
            <w:tcW w:w="3494" w:type="dxa"/>
          </w:tcPr>
          <w:p w14:paraId="4B585BD3" w14:textId="66DC324A" w:rsidR="001B2867" w:rsidRDefault="001B2867">
            <w:pPr>
              <w:ind w:left="0" w:right="0" w:firstLine="0"/>
              <w:rPr>
                <w:color w:val="333333"/>
              </w:rPr>
            </w:pPr>
            <w:bookmarkStart w:id="2" w:name="_Hlk168388132"/>
            <w:r>
              <w:rPr>
                <w:color w:val="333333"/>
              </w:rPr>
              <w:t>Téléphone sans frais :</w:t>
            </w:r>
          </w:p>
        </w:tc>
        <w:tc>
          <w:tcPr>
            <w:tcW w:w="5870" w:type="dxa"/>
          </w:tcPr>
          <w:p w14:paraId="17C78CE4" w14:textId="714B09B3" w:rsidR="001B2867" w:rsidRDefault="001B2867">
            <w:pPr>
              <w:ind w:left="0" w:right="0" w:firstLine="0"/>
              <w:rPr>
                <w:color w:val="333333"/>
              </w:rPr>
            </w:pPr>
            <w:r>
              <w:rPr>
                <w:color w:val="333333"/>
              </w:rPr>
              <w:t>1-877-525-0337</w:t>
            </w:r>
          </w:p>
        </w:tc>
      </w:tr>
      <w:tr w:rsidR="001B2867" w14:paraId="2DBA3122" w14:textId="77777777" w:rsidTr="001B2867">
        <w:tc>
          <w:tcPr>
            <w:tcW w:w="3494" w:type="dxa"/>
          </w:tcPr>
          <w:p w14:paraId="6155BCEE" w14:textId="18BF5ABF" w:rsidR="001B2867" w:rsidRDefault="001B2867">
            <w:pPr>
              <w:ind w:left="0" w:right="0" w:firstLine="0"/>
              <w:rPr>
                <w:color w:val="333333"/>
              </w:rPr>
            </w:pPr>
            <w:r>
              <w:rPr>
                <w:color w:val="333333"/>
              </w:rPr>
              <w:t>Montréal</w:t>
            </w:r>
          </w:p>
        </w:tc>
        <w:tc>
          <w:tcPr>
            <w:tcW w:w="5870" w:type="dxa"/>
          </w:tcPr>
          <w:p w14:paraId="313DDFA9" w14:textId="77777777" w:rsidR="001B2867" w:rsidRDefault="001B2867">
            <w:pPr>
              <w:ind w:left="0" w:right="0" w:firstLine="0"/>
              <w:rPr>
                <w:color w:val="333333"/>
              </w:rPr>
            </w:pPr>
          </w:p>
        </w:tc>
      </w:tr>
      <w:tr w:rsidR="001B2867" w14:paraId="6986CF34" w14:textId="77777777" w:rsidTr="001B2867">
        <w:tc>
          <w:tcPr>
            <w:tcW w:w="3494" w:type="dxa"/>
          </w:tcPr>
          <w:p w14:paraId="5AFBBDEA" w14:textId="76095893" w:rsidR="001B2867" w:rsidRDefault="001B2867">
            <w:pPr>
              <w:ind w:left="0" w:right="0" w:firstLine="0"/>
              <w:rPr>
                <w:color w:val="333333"/>
              </w:rPr>
            </w:pPr>
            <w:r>
              <w:t xml:space="preserve">Courrier ou messagerie :  </w:t>
            </w:r>
          </w:p>
        </w:tc>
        <w:tc>
          <w:tcPr>
            <w:tcW w:w="5870" w:type="dxa"/>
          </w:tcPr>
          <w:p w14:paraId="3742571B" w14:textId="77777777" w:rsidR="001B2867" w:rsidRDefault="001B2867">
            <w:pPr>
              <w:ind w:left="0" w:right="0" w:firstLine="0"/>
              <w:rPr>
                <w:color w:val="212121"/>
              </w:rPr>
            </w:pPr>
            <w:r>
              <w:rPr>
                <w:color w:val="212121"/>
              </w:rPr>
              <w:t>800, rue du Square-Victoria, bureau 2200</w:t>
            </w:r>
          </w:p>
          <w:p w14:paraId="06B1AEAD" w14:textId="22D767C3" w:rsidR="001B2867" w:rsidRDefault="001B2867">
            <w:pPr>
              <w:ind w:left="0" w:right="0" w:firstLine="0"/>
              <w:rPr>
                <w:color w:val="333333"/>
              </w:rPr>
            </w:pPr>
            <w:r>
              <w:rPr>
                <w:color w:val="212121"/>
              </w:rPr>
              <w:t>Montréal (Québec) H3C 0B4</w:t>
            </w:r>
          </w:p>
        </w:tc>
      </w:tr>
      <w:tr w:rsidR="001B2867" w14:paraId="0E57801D" w14:textId="77777777" w:rsidTr="001B2867">
        <w:tc>
          <w:tcPr>
            <w:tcW w:w="3494" w:type="dxa"/>
          </w:tcPr>
          <w:p w14:paraId="73C7EC1B" w14:textId="25642977" w:rsidR="001B2867" w:rsidRDefault="001B2867">
            <w:pPr>
              <w:ind w:left="0" w:right="0" w:firstLine="0"/>
              <w:rPr>
                <w:color w:val="333333"/>
              </w:rPr>
            </w:pPr>
            <w:r>
              <w:rPr>
                <w:color w:val="212121"/>
              </w:rPr>
              <w:t xml:space="preserve">Téléphone :   </w:t>
            </w:r>
          </w:p>
        </w:tc>
        <w:tc>
          <w:tcPr>
            <w:tcW w:w="5870" w:type="dxa"/>
          </w:tcPr>
          <w:p w14:paraId="57B9CF6D" w14:textId="5BDFB9E1" w:rsidR="001B2867" w:rsidRDefault="001B2867">
            <w:pPr>
              <w:ind w:left="0" w:right="0" w:firstLine="0"/>
              <w:rPr>
                <w:color w:val="333333"/>
              </w:rPr>
            </w:pPr>
            <w:r>
              <w:rPr>
                <w:color w:val="212121"/>
              </w:rPr>
              <w:t>514-395-0337</w:t>
            </w:r>
          </w:p>
        </w:tc>
      </w:tr>
      <w:tr w:rsidR="001B2867" w14:paraId="5F25B815" w14:textId="77777777" w:rsidTr="001B2867">
        <w:tc>
          <w:tcPr>
            <w:tcW w:w="3494" w:type="dxa"/>
          </w:tcPr>
          <w:p w14:paraId="4DDA8125" w14:textId="7DED06B4" w:rsidR="001B2867" w:rsidRDefault="001B2867">
            <w:pPr>
              <w:ind w:left="0" w:right="0" w:firstLine="0"/>
              <w:rPr>
                <w:color w:val="333333"/>
              </w:rPr>
            </w:pPr>
            <w:r>
              <w:rPr>
                <w:color w:val="212121"/>
              </w:rPr>
              <w:t xml:space="preserve">Télécopieur :    </w:t>
            </w:r>
          </w:p>
        </w:tc>
        <w:tc>
          <w:tcPr>
            <w:tcW w:w="5870" w:type="dxa"/>
          </w:tcPr>
          <w:p w14:paraId="52995383" w14:textId="11C59C85" w:rsidR="001B2867" w:rsidRDefault="001B2867">
            <w:pPr>
              <w:ind w:left="0" w:right="0" w:firstLine="0"/>
              <w:rPr>
                <w:color w:val="333333"/>
              </w:rPr>
            </w:pPr>
            <w:r>
              <w:rPr>
                <w:color w:val="212121"/>
              </w:rPr>
              <w:t>514-873-3090</w:t>
            </w:r>
          </w:p>
        </w:tc>
      </w:tr>
      <w:tr w:rsidR="001B2867" w14:paraId="5A9FE259" w14:textId="77777777" w:rsidTr="001B2867">
        <w:tc>
          <w:tcPr>
            <w:tcW w:w="3494" w:type="dxa"/>
          </w:tcPr>
          <w:p w14:paraId="4513E242" w14:textId="0F0E3813" w:rsidR="001B2867" w:rsidRDefault="001B2867">
            <w:pPr>
              <w:ind w:left="0" w:right="0" w:firstLine="0"/>
              <w:rPr>
                <w:color w:val="333333"/>
              </w:rPr>
            </w:pPr>
            <w:r>
              <w:rPr>
                <w:color w:val="333333"/>
              </w:rPr>
              <w:t xml:space="preserve">Ville de Québec </w:t>
            </w:r>
          </w:p>
        </w:tc>
        <w:tc>
          <w:tcPr>
            <w:tcW w:w="5870" w:type="dxa"/>
          </w:tcPr>
          <w:p w14:paraId="26DBD5A5" w14:textId="77777777" w:rsidR="001B2867" w:rsidRDefault="001B2867">
            <w:pPr>
              <w:ind w:left="0" w:right="0" w:firstLine="0"/>
              <w:rPr>
                <w:color w:val="333333"/>
              </w:rPr>
            </w:pPr>
          </w:p>
        </w:tc>
      </w:tr>
      <w:tr w:rsidR="001B2867" w14:paraId="080C31A1" w14:textId="77777777" w:rsidTr="001B2867">
        <w:tc>
          <w:tcPr>
            <w:tcW w:w="3494" w:type="dxa"/>
          </w:tcPr>
          <w:p w14:paraId="42BB4E24" w14:textId="20155F8B" w:rsidR="001B2867" w:rsidRDefault="001B2867">
            <w:pPr>
              <w:ind w:left="0" w:right="0" w:firstLine="0"/>
              <w:rPr>
                <w:color w:val="333333"/>
              </w:rPr>
            </w:pPr>
            <w:r>
              <w:lastRenderedPageBreak/>
              <w:t xml:space="preserve">Courrier ou messagerie :  </w:t>
            </w:r>
          </w:p>
        </w:tc>
        <w:tc>
          <w:tcPr>
            <w:tcW w:w="5870" w:type="dxa"/>
          </w:tcPr>
          <w:p w14:paraId="567DCD0C" w14:textId="77777777" w:rsidR="001B2867" w:rsidRDefault="001B2867">
            <w:pPr>
              <w:ind w:left="0" w:right="0" w:firstLine="0"/>
            </w:pPr>
            <w:r>
              <w:t xml:space="preserve">Place de la Cite, tour </w:t>
            </w:r>
            <w:proofErr w:type="spellStart"/>
            <w:r>
              <w:t>Cominar</w:t>
            </w:r>
            <w:proofErr w:type="spellEnd"/>
          </w:p>
          <w:p w14:paraId="26B1A4CE" w14:textId="5E3F6BE0" w:rsidR="001B2867" w:rsidRDefault="001B2867">
            <w:pPr>
              <w:ind w:left="0" w:right="0" w:firstLine="0"/>
              <w:rPr>
                <w:color w:val="333333"/>
              </w:rPr>
            </w:pPr>
            <w:r>
              <w:t xml:space="preserve"> 2640, boulevard Laurier, bureau 400     </w:t>
            </w:r>
          </w:p>
        </w:tc>
      </w:tr>
      <w:tr w:rsidR="001B2867" w14:paraId="424BC9C8" w14:textId="77777777" w:rsidTr="001B2867">
        <w:tc>
          <w:tcPr>
            <w:tcW w:w="3494" w:type="dxa"/>
          </w:tcPr>
          <w:p w14:paraId="56D8A934" w14:textId="2D7A2057" w:rsidR="001B2867" w:rsidRDefault="001B2867">
            <w:pPr>
              <w:ind w:left="0" w:right="0" w:firstLine="0"/>
              <w:rPr>
                <w:color w:val="333333"/>
              </w:rPr>
            </w:pPr>
            <w:r>
              <w:rPr>
                <w:color w:val="333333"/>
              </w:rPr>
              <w:t>Téléphone :</w:t>
            </w:r>
          </w:p>
        </w:tc>
        <w:tc>
          <w:tcPr>
            <w:tcW w:w="5870" w:type="dxa"/>
          </w:tcPr>
          <w:p w14:paraId="50E0272D" w14:textId="51F45322" w:rsidR="001B2867" w:rsidRDefault="001B2867">
            <w:pPr>
              <w:ind w:left="0" w:right="0" w:firstLine="0"/>
              <w:rPr>
                <w:color w:val="333333"/>
              </w:rPr>
            </w:pPr>
            <w:r>
              <w:rPr>
                <w:color w:val="333333"/>
              </w:rPr>
              <w:t>Québec (Québec) G1V 5C1</w:t>
            </w:r>
          </w:p>
        </w:tc>
      </w:tr>
      <w:tr w:rsidR="001B2867" w14:paraId="068AE062" w14:textId="77777777" w:rsidTr="001B2867">
        <w:tc>
          <w:tcPr>
            <w:tcW w:w="3494" w:type="dxa"/>
          </w:tcPr>
          <w:p w14:paraId="15EC6147" w14:textId="0C248DA2" w:rsidR="001B2867" w:rsidRDefault="001B2867">
            <w:pPr>
              <w:ind w:left="0" w:right="0" w:firstLine="0"/>
              <w:rPr>
                <w:color w:val="333333"/>
              </w:rPr>
            </w:pPr>
            <w:r>
              <w:rPr>
                <w:color w:val="333333"/>
              </w:rPr>
              <w:t>Téléphone</w:t>
            </w:r>
          </w:p>
        </w:tc>
        <w:tc>
          <w:tcPr>
            <w:tcW w:w="5870" w:type="dxa"/>
          </w:tcPr>
          <w:p w14:paraId="285CADF9" w14:textId="16DD12C4" w:rsidR="001B2867" w:rsidRDefault="001B2867">
            <w:pPr>
              <w:ind w:left="0" w:right="0" w:firstLine="0"/>
              <w:rPr>
                <w:color w:val="333333"/>
              </w:rPr>
            </w:pPr>
            <w:r>
              <w:rPr>
                <w:color w:val="333333"/>
              </w:rPr>
              <w:t>418-525-0337</w:t>
            </w:r>
          </w:p>
        </w:tc>
      </w:tr>
      <w:tr w:rsidR="001B2867" w14:paraId="41FC07F6" w14:textId="77777777" w:rsidTr="001B2867">
        <w:tc>
          <w:tcPr>
            <w:tcW w:w="3494" w:type="dxa"/>
          </w:tcPr>
          <w:p w14:paraId="5831AD98" w14:textId="18B11B56" w:rsidR="001B2867" w:rsidRDefault="001B2867">
            <w:pPr>
              <w:ind w:left="0" w:right="0" w:firstLine="0"/>
              <w:rPr>
                <w:color w:val="333333"/>
              </w:rPr>
            </w:pPr>
            <w:r>
              <w:rPr>
                <w:color w:val="333333"/>
              </w:rPr>
              <w:t>Télécopieur :</w:t>
            </w:r>
          </w:p>
        </w:tc>
        <w:tc>
          <w:tcPr>
            <w:tcW w:w="5870" w:type="dxa"/>
          </w:tcPr>
          <w:p w14:paraId="04DD89CC" w14:textId="7C77B502" w:rsidR="001B2867" w:rsidRDefault="001B2867">
            <w:pPr>
              <w:ind w:left="0" w:right="0" w:firstLine="0"/>
              <w:rPr>
                <w:color w:val="333333"/>
              </w:rPr>
            </w:pPr>
            <w:r>
              <w:rPr>
                <w:color w:val="333333"/>
              </w:rPr>
              <w:t>418-525-9512</w:t>
            </w:r>
          </w:p>
        </w:tc>
      </w:tr>
      <w:tr w:rsidR="001B2867" w14:paraId="5691A995" w14:textId="77777777" w:rsidTr="001B2867">
        <w:tc>
          <w:tcPr>
            <w:tcW w:w="3494" w:type="dxa"/>
          </w:tcPr>
          <w:p w14:paraId="7CCA52B0" w14:textId="2373D113" w:rsidR="001B2867" w:rsidRDefault="001B2867">
            <w:pPr>
              <w:ind w:left="0" w:right="0" w:firstLine="0"/>
              <w:rPr>
                <w:color w:val="333333"/>
              </w:rPr>
            </w:pPr>
            <w:r>
              <w:rPr>
                <w:color w:val="333333"/>
              </w:rPr>
              <w:t>Courriel :</w:t>
            </w:r>
          </w:p>
        </w:tc>
        <w:tc>
          <w:tcPr>
            <w:tcW w:w="5870" w:type="dxa"/>
          </w:tcPr>
          <w:p w14:paraId="78D32079" w14:textId="0C1D311E" w:rsidR="001B2867" w:rsidRPr="001B2867" w:rsidRDefault="001B2867">
            <w:pPr>
              <w:ind w:left="0" w:right="0" w:firstLine="0"/>
              <w:rPr>
                <w:color w:val="333333"/>
                <w:u w:val="single"/>
              </w:rPr>
            </w:pPr>
            <w:r w:rsidRPr="001B2867">
              <w:rPr>
                <w:color w:val="333333"/>
                <w:u w:val="single"/>
              </w:rPr>
              <w:t>information@lautorite.qc.ca</w:t>
            </w:r>
          </w:p>
        </w:tc>
      </w:tr>
      <w:tr w:rsidR="001B2867" w14:paraId="0F00B5CA" w14:textId="77777777" w:rsidTr="001B2867">
        <w:tc>
          <w:tcPr>
            <w:tcW w:w="3494" w:type="dxa"/>
          </w:tcPr>
          <w:p w14:paraId="2D239B10" w14:textId="4DAB5483" w:rsidR="001B2867" w:rsidRDefault="001B2867">
            <w:pPr>
              <w:ind w:left="0" w:right="0" w:firstLine="0"/>
              <w:rPr>
                <w:color w:val="333333"/>
              </w:rPr>
            </w:pPr>
            <w:r>
              <w:t>Et via leur site Web à :</w:t>
            </w:r>
          </w:p>
        </w:tc>
        <w:tc>
          <w:tcPr>
            <w:tcW w:w="5870" w:type="dxa"/>
          </w:tcPr>
          <w:p w14:paraId="4A0077CC" w14:textId="033FB048" w:rsidR="001B2867" w:rsidRDefault="00000000">
            <w:pPr>
              <w:ind w:left="0" w:right="0" w:firstLine="0"/>
              <w:rPr>
                <w:color w:val="333333"/>
              </w:rPr>
            </w:pPr>
            <w:hyperlink r:id="rId9">
              <w:r w:rsidR="001B2867">
                <w:rPr>
                  <w:u w:val="single" w:color="000000"/>
                </w:rPr>
                <w:t>www.lautorite.qc.ca</w:t>
              </w:r>
            </w:hyperlink>
            <w:hyperlink r:id="rId10">
              <w:r w:rsidR="001B2867">
                <w:t xml:space="preserve"> </w:t>
              </w:r>
            </w:hyperlink>
          </w:p>
        </w:tc>
      </w:tr>
      <w:bookmarkEnd w:id="1"/>
      <w:bookmarkEnd w:id="2"/>
    </w:tbl>
    <w:p w14:paraId="444E4E0E" w14:textId="77777777" w:rsidR="001B2867" w:rsidRDefault="001B2867">
      <w:pPr>
        <w:ind w:left="1042" w:right="0"/>
        <w:rPr>
          <w:color w:val="333333"/>
        </w:rPr>
      </w:pPr>
    </w:p>
    <w:p w14:paraId="14AF0053" w14:textId="3A202718" w:rsidR="00443850" w:rsidRDefault="00443850">
      <w:pPr>
        <w:ind w:left="629" w:right="0"/>
      </w:pPr>
    </w:p>
    <w:sectPr w:rsidR="00443850">
      <w:headerReference w:type="even" r:id="rId11"/>
      <w:headerReference w:type="default" r:id="rId12"/>
      <w:footerReference w:type="even" r:id="rId13"/>
      <w:footerReference w:type="default" r:id="rId14"/>
      <w:headerReference w:type="first" r:id="rId15"/>
      <w:footerReference w:type="first" r:id="rId16"/>
      <w:pgSz w:w="12240" w:h="15840"/>
      <w:pgMar w:top="1418" w:right="1474" w:bottom="986" w:left="360" w:header="43" w:footer="3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E2A23" w14:textId="77777777" w:rsidR="00182A04" w:rsidRDefault="00182A04">
      <w:pPr>
        <w:spacing w:after="0" w:line="240" w:lineRule="auto"/>
      </w:pPr>
      <w:r>
        <w:separator/>
      </w:r>
    </w:p>
  </w:endnote>
  <w:endnote w:type="continuationSeparator" w:id="0">
    <w:p w14:paraId="6F6E2ECE" w14:textId="77777777" w:rsidR="00182A04" w:rsidRDefault="0018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97D8F" w14:textId="77777777" w:rsidR="00443850" w:rsidRDefault="005D5A11">
    <w:pPr>
      <w:spacing w:after="210" w:line="259" w:lineRule="auto"/>
      <w:ind w:left="619" w:right="0" w:firstLine="0"/>
      <w:jc w:val="left"/>
    </w:pPr>
    <w:r>
      <w:rPr>
        <w:rFonts w:ascii="Calibri" w:eastAsia="Calibri" w:hAnsi="Calibri" w:cs="Calibri"/>
        <w:sz w:val="20"/>
      </w:rPr>
      <w:t xml:space="preserve"> </w:t>
    </w:r>
  </w:p>
  <w:p w14:paraId="1A42D67B" w14:textId="77777777" w:rsidR="00443850" w:rsidRDefault="005D5A11">
    <w:pPr>
      <w:spacing w:after="0" w:line="259" w:lineRule="auto"/>
      <w:ind w:left="0" w:right="-25" w:firstLine="0"/>
      <w:jc w:val="right"/>
    </w:pPr>
    <w:r>
      <w:rPr>
        <w:rFonts w:ascii="Calibri" w:eastAsia="Calibri" w:hAnsi="Calibri" w:cs="Calibri"/>
        <w:b/>
        <w:i/>
        <w:color w:val="A6A6A6"/>
        <w:sz w:val="20"/>
      </w:rPr>
      <w:t>Procédure de plainte (v.1)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C4C39" w14:textId="77777777" w:rsidR="00443850" w:rsidRDefault="005D5A11">
    <w:pPr>
      <w:spacing w:after="210" w:line="259" w:lineRule="auto"/>
      <w:ind w:left="619" w:right="0" w:firstLine="0"/>
      <w:jc w:val="left"/>
    </w:pPr>
    <w:r>
      <w:rPr>
        <w:rFonts w:ascii="Calibri" w:eastAsia="Calibri" w:hAnsi="Calibri" w:cs="Calibri"/>
        <w:sz w:val="20"/>
      </w:rPr>
      <w:t xml:space="preserve"> </w:t>
    </w:r>
  </w:p>
  <w:p w14:paraId="7994E951" w14:textId="77777777" w:rsidR="00443850" w:rsidRDefault="005D5A11">
    <w:pPr>
      <w:spacing w:after="0" w:line="259" w:lineRule="auto"/>
      <w:ind w:left="0" w:right="-25" w:firstLine="0"/>
      <w:jc w:val="right"/>
    </w:pPr>
    <w:r>
      <w:rPr>
        <w:rFonts w:ascii="Calibri" w:eastAsia="Calibri" w:hAnsi="Calibri" w:cs="Calibri"/>
        <w:b/>
        <w:i/>
        <w:color w:val="A6A6A6"/>
        <w:sz w:val="20"/>
      </w:rPr>
      <w:t>Procédure de plainte (v.1)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D489B" w14:textId="77777777" w:rsidR="00443850" w:rsidRDefault="005D5A11">
    <w:pPr>
      <w:spacing w:after="210" w:line="259" w:lineRule="auto"/>
      <w:ind w:left="619" w:right="0" w:firstLine="0"/>
      <w:jc w:val="left"/>
    </w:pPr>
    <w:r>
      <w:rPr>
        <w:rFonts w:ascii="Calibri" w:eastAsia="Calibri" w:hAnsi="Calibri" w:cs="Calibri"/>
        <w:sz w:val="20"/>
      </w:rPr>
      <w:t xml:space="preserve"> </w:t>
    </w:r>
  </w:p>
  <w:p w14:paraId="1807419F" w14:textId="77777777" w:rsidR="00443850" w:rsidRDefault="005D5A11">
    <w:pPr>
      <w:spacing w:after="0" w:line="259" w:lineRule="auto"/>
      <w:ind w:left="0" w:right="-25" w:firstLine="0"/>
      <w:jc w:val="right"/>
    </w:pPr>
    <w:r>
      <w:rPr>
        <w:rFonts w:ascii="Calibri" w:eastAsia="Calibri" w:hAnsi="Calibri" w:cs="Calibri"/>
        <w:b/>
        <w:i/>
        <w:color w:val="A6A6A6"/>
        <w:sz w:val="20"/>
      </w:rPr>
      <w:t>Procédure de plainte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E902A" w14:textId="77777777" w:rsidR="00182A04" w:rsidRDefault="00182A04">
      <w:pPr>
        <w:spacing w:after="0" w:line="240" w:lineRule="auto"/>
      </w:pPr>
      <w:r>
        <w:separator/>
      </w:r>
    </w:p>
  </w:footnote>
  <w:footnote w:type="continuationSeparator" w:id="0">
    <w:p w14:paraId="1B6750DE" w14:textId="77777777" w:rsidR="00182A04" w:rsidRDefault="00182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20936" w14:textId="77777777" w:rsidR="00443850" w:rsidRDefault="005D5A11">
    <w:pPr>
      <w:spacing w:after="0" w:line="259" w:lineRule="auto"/>
      <w:ind w:left="619" w:right="0" w:firstLine="0"/>
      <w:jc w:val="left"/>
    </w:pPr>
    <w:r>
      <w:rPr>
        <w:noProof/>
      </w:rPr>
      <w:drawing>
        <wp:anchor distT="0" distB="0" distL="114300" distR="114300" simplePos="0" relativeHeight="251658240" behindDoc="0" locked="0" layoutInCell="1" allowOverlap="0" wp14:anchorId="4163F725" wp14:editId="330D1DA9">
          <wp:simplePos x="0" y="0"/>
          <wp:positionH relativeFrom="page">
            <wp:posOffset>5003800</wp:posOffset>
          </wp:positionH>
          <wp:positionV relativeFrom="page">
            <wp:posOffset>209550</wp:posOffset>
          </wp:positionV>
          <wp:extent cx="1847850" cy="504825"/>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847850" cy="504825"/>
                  </a:xfrm>
                  <a:prstGeom prst="rect">
                    <a:avLst/>
                  </a:prstGeom>
                </pic:spPr>
              </pic:pic>
            </a:graphicData>
          </a:graphic>
        </wp:anchor>
      </w:drawing>
    </w: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EB09E" w14:textId="77777777" w:rsidR="00443850" w:rsidRDefault="005D5A11">
    <w:pPr>
      <w:spacing w:after="0" w:line="259" w:lineRule="auto"/>
      <w:ind w:left="619" w:right="0" w:firstLine="0"/>
      <w:jc w:val="left"/>
    </w:pPr>
    <w:r>
      <w:rPr>
        <w:noProof/>
      </w:rPr>
      <w:drawing>
        <wp:anchor distT="0" distB="0" distL="114300" distR="114300" simplePos="0" relativeHeight="251659264" behindDoc="0" locked="0" layoutInCell="1" allowOverlap="0" wp14:anchorId="1937A05B" wp14:editId="060F933C">
          <wp:simplePos x="0" y="0"/>
          <wp:positionH relativeFrom="page">
            <wp:posOffset>5003800</wp:posOffset>
          </wp:positionH>
          <wp:positionV relativeFrom="page">
            <wp:posOffset>209550</wp:posOffset>
          </wp:positionV>
          <wp:extent cx="1847850" cy="504825"/>
          <wp:effectExtent l="0" t="0" r="0" b="0"/>
          <wp:wrapSquare wrapText="bothSides"/>
          <wp:docPr id="19976554"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847850" cy="504825"/>
                  </a:xfrm>
                  <a:prstGeom prst="rect">
                    <a:avLst/>
                  </a:prstGeom>
                </pic:spPr>
              </pic:pic>
            </a:graphicData>
          </a:graphic>
        </wp:anchor>
      </w:drawing>
    </w: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91CB0" w14:textId="77777777" w:rsidR="00443850" w:rsidRDefault="005D5A11">
    <w:pPr>
      <w:spacing w:after="0" w:line="259" w:lineRule="auto"/>
      <w:ind w:left="619" w:right="0" w:firstLine="0"/>
      <w:jc w:val="left"/>
    </w:pPr>
    <w:r>
      <w:rPr>
        <w:noProof/>
      </w:rPr>
      <w:drawing>
        <wp:anchor distT="0" distB="0" distL="114300" distR="114300" simplePos="0" relativeHeight="251660288" behindDoc="0" locked="0" layoutInCell="1" allowOverlap="0" wp14:anchorId="1E9025E9" wp14:editId="1B0B2F91">
          <wp:simplePos x="0" y="0"/>
          <wp:positionH relativeFrom="page">
            <wp:posOffset>5003800</wp:posOffset>
          </wp:positionH>
          <wp:positionV relativeFrom="page">
            <wp:posOffset>209550</wp:posOffset>
          </wp:positionV>
          <wp:extent cx="1847850" cy="504825"/>
          <wp:effectExtent l="0" t="0" r="0" b="0"/>
          <wp:wrapSquare wrapText="bothSides"/>
          <wp:docPr id="1483612838"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847850" cy="504825"/>
                  </a:xfrm>
                  <a:prstGeom prst="rect">
                    <a:avLst/>
                  </a:prstGeom>
                </pic:spPr>
              </pic:pic>
            </a:graphicData>
          </a:graphic>
        </wp:anchor>
      </w:drawing>
    </w: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8468B"/>
    <w:multiLevelType w:val="hybridMultilevel"/>
    <w:tmpl w:val="16C01E48"/>
    <w:lvl w:ilvl="0" w:tplc="0FC8D0BE">
      <w:start w:val="1"/>
      <w:numFmt w:val="bullet"/>
      <w:lvlText w:val="▪"/>
      <w:lvlJc w:val="left"/>
      <w:pPr>
        <w:ind w:left="1752"/>
      </w:pPr>
      <w:rPr>
        <w:rFonts w:ascii="Wingdings" w:eastAsia="Wingdings" w:hAnsi="Wingdings" w:cs="Wingdings"/>
        <w:b w:val="0"/>
        <w:i w:val="0"/>
        <w:strike w:val="0"/>
        <w:dstrike w:val="0"/>
        <w:color w:val="002060"/>
        <w:sz w:val="22"/>
        <w:szCs w:val="22"/>
        <w:u w:val="none" w:color="000000"/>
        <w:bdr w:val="none" w:sz="0" w:space="0" w:color="auto"/>
        <w:shd w:val="clear" w:color="auto" w:fill="auto"/>
        <w:vertAlign w:val="baseline"/>
      </w:rPr>
    </w:lvl>
    <w:lvl w:ilvl="1" w:tplc="C694BF8E">
      <w:start w:val="1"/>
      <w:numFmt w:val="bullet"/>
      <w:lvlText w:val="o"/>
      <w:lvlJc w:val="left"/>
      <w:pPr>
        <w:ind w:left="1361"/>
      </w:pPr>
      <w:rPr>
        <w:rFonts w:ascii="Wingdings" w:eastAsia="Wingdings" w:hAnsi="Wingdings" w:cs="Wingdings"/>
        <w:b w:val="0"/>
        <w:i w:val="0"/>
        <w:strike w:val="0"/>
        <w:dstrike w:val="0"/>
        <w:color w:val="002060"/>
        <w:sz w:val="22"/>
        <w:szCs w:val="22"/>
        <w:u w:val="none" w:color="000000"/>
        <w:bdr w:val="none" w:sz="0" w:space="0" w:color="auto"/>
        <w:shd w:val="clear" w:color="auto" w:fill="auto"/>
        <w:vertAlign w:val="baseline"/>
      </w:rPr>
    </w:lvl>
    <w:lvl w:ilvl="2" w:tplc="50F665AA">
      <w:start w:val="1"/>
      <w:numFmt w:val="bullet"/>
      <w:lvlText w:val="▪"/>
      <w:lvlJc w:val="left"/>
      <w:pPr>
        <w:ind w:left="2081"/>
      </w:pPr>
      <w:rPr>
        <w:rFonts w:ascii="Wingdings" w:eastAsia="Wingdings" w:hAnsi="Wingdings" w:cs="Wingdings"/>
        <w:b w:val="0"/>
        <w:i w:val="0"/>
        <w:strike w:val="0"/>
        <w:dstrike w:val="0"/>
        <w:color w:val="002060"/>
        <w:sz w:val="22"/>
        <w:szCs w:val="22"/>
        <w:u w:val="none" w:color="000000"/>
        <w:bdr w:val="none" w:sz="0" w:space="0" w:color="auto"/>
        <w:shd w:val="clear" w:color="auto" w:fill="auto"/>
        <w:vertAlign w:val="baseline"/>
      </w:rPr>
    </w:lvl>
    <w:lvl w:ilvl="3" w:tplc="BE72D008">
      <w:start w:val="1"/>
      <w:numFmt w:val="bullet"/>
      <w:lvlText w:val="•"/>
      <w:lvlJc w:val="left"/>
      <w:pPr>
        <w:ind w:left="2801"/>
      </w:pPr>
      <w:rPr>
        <w:rFonts w:ascii="Wingdings" w:eastAsia="Wingdings" w:hAnsi="Wingdings" w:cs="Wingdings"/>
        <w:b w:val="0"/>
        <w:i w:val="0"/>
        <w:strike w:val="0"/>
        <w:dstrike w:val="0"/>
        <w:color w:val="002060"/>
        <w:sz w:val="22"/>
        <w:szCs w:val="22"/>
        <w:u w:val="none" w:color="000000"/>
        <w:bdr w:val="none" w:sz="0" w:space="0" w:color="auto"/>
        <w:shd w:val="clear" w:color="auto" w:fill="auto"/>
        <w:vertAlign w:val="baseline"/>
      </w:rPr>
    </w:lvl>
    <w:lvl w:ilvl="4" w:tplc="5498D0AC">
      <w:start w:val="1"/>
      <w:numFmt w:val="bullet"/>
      <w:lvlText w:val="o"/>
      <w:lvlJc w:val="left"/>
      <w:pPr>
        <w:ind w:left="3521"/>
      </w:pPr>
      <w:rPr>
        <w:rFonts w:ascii="Wingdings" w:eastAsia="Wingdings" w:hAnsi="Wingdings" w:cs="Wingdings"/>
        <w:b w:val="0"/>
        <w:i w:val="0"/>
        <w:strike w:val="0"/>
        <w:dstrike w:val="0"/>
        <w:color w:val="002060"/>
        <w:sz w:val="22"/>
        <w:szCs w:val="22"/>
        <w:u w:val="none" w:color="000000"/>
        <w:bdr w:val="none" w:sz="0" w:space="0" w:color="auto"/>
        <w:shd w:val="clear" w:color="auto" w:fill="auto"/>
        <w:vertAlign w:val="baseline"/>
      </w:rPr>
    </w:lvl>
    <w:lvl w:ilvl="5" w:tplc="CE88C92C">
      <w:start w:val="1"/>
      <w:numFmt w:val="bullet"/>
      <w:lvlText w:val="▪"/>
      <w:lvlJc w:val="left"/>
      <w:pPr>
        <w:ind w:left="4241"/>
      </w:pPr>
      <w:rPr>
        <w:rFonts w:ascii="Wingdings" w:eastAsia="Wingdings" w:hAnsi="Wingdings" w:cs="Wingdings"/>
        <w:b w:val="0"/>
        <w:i w:val="0"/>
        <w:strike w:val="0"/>
        <w:dstrike w:val="0"/>
        <w:color w:val="002060"/>
        <w:sz w:val="22"/>
        <w:szCs w:val="22"/>
        <w:u w:val="none" w:color="000000"/>
        <w:bdr w:val="none" w:sz="0" w:space="0" w:color="auto"/>
        <w:shd w:val="clear" w:color="auto" w:fill="auto"/>
        <w:vertAlign w:val="baseline"/>
      </w:rPr>
    </w:lvl>
    <w:lvl w:ilvl="6" w:tplc="23968A08">
      <w:start w:val="1"/>
      <w:numFmt w:val="bullet"/>
      <w:lvlText w:val="•"/>
      <w:lvlJc w:val="left"/>
      <w:pPr>
        <w:ind w:left="4961"/>
      </w:pPr>
      <w:rPr>
        <w:rFonts w:ascii="Wingdings" w:eastAsia="Wingdings" w:hAnsi="Wingdings" w:cs="Wingdings"/>
        <w:b w:val="0"/>
        <w:i w:val="0"/>
        <w:strike w:val="0"/>
        <w:dstrike w:val="0"/>
        <w:color w:val="002060"/>
        <w:sz w:val="22"/>
        <w:szCs w:val="22"/>
        <w:u w:val="none" w:color="000000"/>
        <w:bdr w:val="none" w:sz="0" w:space="0" w:color="auto"/>
        <w:shd w:val="clear" w:color="auto" w:fill="auto"/>
        <w:vertAlign w:val="baseline"/>
      </w:rPr>
    </w:lvl>
    <w:lvl w:ilvl="7" w:tplc="B5C4A03A">
      <w:start w:val="1"/>
      <w:numFmt w:val="bullet"/>
      <w:lvlText w:val="o"/>
      <w:lvlJc w:val="left"/>
      <w:pPr>
        <w:ind w:left="5681"/>
      </w:pPr>
      <w:rPr>
        <w:rFonts w:ascii="Wingdings" w:eastAsia="Wingdings" w:hAnsi="Wingdings" w:cs="Wingdings"/>
        <w:b w:val="0"/>
        <w:i w:val="0"/>
        <w:strike w:val="0"/>
        <w:dstrike w:val="0"/>
        <w:color w:val="002060"/>
        <w:sz w:val="22"/>
        <w:szCs w:val="22"/>
        <w:u w:val="none" w:color="000000"/>
        <w:bdr w:val="none" w:sz="0" w:space="0" w:color="auto"/>
        <w:shd w:val="clear" w:color="auto" w:fill="auto"/>
        <w:vertAlign w:val="baseline"/>
      </w:rPr>
    </w:lvl>
    <w:lvl w:ilvl="8" w:tplc="3D122754">
      <w:start w:val="1"/>
      <w:numFmt w:val="bullet"/>
      <w:lvlText w:val="▪"/>
      <w:lvlJc w:val="left"/>
      <w:pPr>
        <w:ind w:left="6401"/>
      </w:pPr>
      <w:rPr>
        <w:rFonts w:ascii="Wingdings" w:eastAsia="Wingdings" w:hAnsi="Wingdings" w:cs="Wingdings"/>
        <w:b w:val="0"/>
        <w:i w:val="0"/>
        <w:strike w:val="0"/>
        <w:dstrike w:val="0"/>
        <w:color w:val="002060"/>
        <w:sz w:val="22"/>
        <w:szCs w:val="22"/>
        <w:u w:val="none" w:color="000000"/>
        <w:bdr w:val="none" w:sz="0" w:space="0" w:color="auto"/>
        <w:shd w:val="clear" w:color="auto" w:fill="auto"/>
        <w:vertAlign w:val="baseline"/>
      </w:rPr>
    </w:lvl>
  </w:abstractNum>
  <w:abstractNum w:abstractNumId="1" w15:restartNumberingAfterBreak="0">
    <w:nsid w:val="31153D36"/>
    <w:multiLevelType w:val="hybridMultilevel"/>
    <w:tmpl w:val="10E8E24E"/>
    <w:lvl w:ilvl="0" w:tplc="6346E55A">
      <w:start w:val="1"/>
      <w:numFmt w:val="bullet"/>
      <w:lvlText w:val="•"/>
      <w:lvlJc w:val="left"/>
      <w:pPr>
        <w:ind w:left="1752"/>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1" w:tplc="41A23F06">
      <w:start w:val="1"/>
      <w:numFmt w:val="bullet"/>
      <w:lvlText w:val="o"/>
      <w:lvlJc w:val="left"/>
      <w:pPr>
        <w:ind w:left="2408"/>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2" w:tplc="23B408B0">
      <w:start w:val="1"/>
      <w:numFmt w:val="bullet"/>
      <w:lvlText w:val="▪"/>
      <w:lvlJc w:val="left"/>
      <w:pPr>
        <w:ind w:left="3128"/>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3" w:tplc="9B10602A">
      <w:start w:val="1"/>
      <w:numFmt w:val="bullet"/>
      <w:lvlText w:val="•"/>
      <w:lvlJc w:val="left"/>
      <w:pPr>
        <w:ind w:left="3848"/>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4" w:tplc="9D020174">
      <w:start w:val="1"/>
      <w:numFmt w:val="bullet"/>
      <w:lvlText w:val="o"/>
      <w:lvlJc w:val="left"/>
      <w:pPr>
        <w:ind w:left="4568"/>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5" w:tplc="249E2E18">
      <w:start w:val="1"/>
      <w:numFmt w:val="bullet"/>
      <w:lvlText w:val="▪"/>
      <w:lvlJc w:val="left"/>
      <w:pPr>
        <w:ind w:left="5288"/>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6" w:tplc="9DAEB95A">
      <w:start w:val="1"/>
      <w:numFmt w:val="bullet"/>
      <w:lvlText w:val="•"/>
      <w:lvlJc w:val="left"/>
      <w:pPr>
        <w:ind w:left="6008"/>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7" w:tplc="63B6BED6">
      <w:start w:val="1"/>
      <w:numFmt w:val="bullet"/>
      <w:lvlText w:val="o"/>
      <w:lvlJc w:val="left"/>
      <w:pPr>
        <w:ind w:left="6728"/>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8" w:tplc="9C7A8558">
      <w:start w:val="1"/>
      <w:numFmt w:val="bullet"/>
      <w:lvlText w:val="▪"/>
      <w:lvlJc w:val="left"/>
      <w:pPr>
        <w:ind w:left="7448"/>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abstractNum>
  <w:abstractNum w:abstractNumId="2" w15:restartNumberingAfterBreak="0">
    <w:nsid w:val="360D5C4A"/>
    <w:multiLevelType w:val="hybridMultilevel"/>
    <w:tmpl w:val="A10A9AF6"/>
    <w:lvl w:ilvl="0" w:tplc="080C0005">
      <w:start w:val="1"/>
      <w:numFmt w:val="bullet"/>
      <w:lvlText w:val=""/>
      <w:lvlJc w:val="left"/>
      <w:pPr>
        <w:ind w:left="1800" w:hanging="360"/>
      </w:pPr>
      <w:rPr>
        <w:rFonts w:ascii="Wingdings" w:hAnsi="Wingdings"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num w:numId="1" w16cid:durableId="1648245744">
    <w:abstractNumId w:val="1"/>
  </w:num>
  <w:num w:numId="2" w16cid:durableId="119886401">
    <w:abstractNumId w:val="0"/>
  </w:num>
  <w:num w:numId="3" w16cid:durableId="1121535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50"/>
    <w:rsid w:val="00182A04"/>
    <w:rsid w:val="001B2867"/>
    <w:rsid w:val="001C1901"/>
    <w:rsid w:val="00247AB6"/>
    <w:rsid w:val="00353256"/>
    <w:rsid w:val="003954E7"/>
    <w:rsid w:val="003E0BB1"/>
    <w:rsid w:val="00443850"/>
    <w:rsid w:val="004764D1"/>
    <w:rsid w:val="00525401"/>
    <w:rsid w:val="0052721E"/>
    <w:rsid w:val="00586D61"/>
    <w:rsid w:val="005D5A11"/>
    <w:rsid w:val="00656BEB"/>
    <w:rsid w:val="0066389B"/>
    <w:rsid w:val="006C16FD"/>
    <w:rsid w:val="00775521"/>
    <w:rsid w:val="007B52A1"/>
    <w:rsid w:val="008238B9"/>
    <w:rsid w:val="008600AF"/>
    <w:rsid w:val="00982AEE"/>
    <w:rsid w:val="00A02762"/>
    <w:rsid w:val="00B3409F"/>
    <w:rsid w:val="00C476D0"/>
    <w:rsid w:val="00CD0443"/>
    <w:rsid w:val="00CF1455"/>
    <w:rsid w:val="00D24B30"/>
    <w:rsid w:val="00E9197D"/>
    <w:rsid w:val="00EB00F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69DF"/>
  <w15:docId w15:val="{13D6E9DF-CAEE-4204-A23C-B269A1738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BE" w:eastAsia="fr-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4" w:line="248" w:lineRule="auto"/>
      <w:ind w:left="1057" w:right="2" w:hanging="10"/>
      <w:jc w:val="both"/>
    </w:pPr>
    <w:rPr>
      <w:rFonts w:ascii="Cambria" w:eastAsia="Cambria" w:hAnsi="Cambria" w:cs="Cambria"/>
      <w:color w:val="000000"/>
      <w:sz w:val="22"/>
    </w:rPr>
  </w:style>
  <w:style w:type="paragraph" w:styleId="Titre1">
    <w:name w:val="heading 1"/>
    <w:next w:val="Normal"/>
    <w:link w:val="Titre1Car"/>
    <w:uiPriority w:val="9"/>
    <w:qFormat/>
    <w:pPr>
      <w:keepNext/>
      <w:keepLines/>
      <w:spacing w:after="98" w:line="259" w:lineRule="auto"/>
      <w:ind w:left="1057" w:hanging="10"/>
      <w:outlineLvl w:val="0"/>
    </w:pPr>
    <w:rPr>
      <w:rFonts w:ascii="Cambria" w:eastAsia="Cambria" w:hAnsi="Cambria" w:cs="Cambria"/>
      <w:b/>
      <w:color w:val="000000"/>
      <w:sz w:val="22"/>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mbria" w:eastAsia="Cambria" w:hAnsi="Cambria" w:cs="Cambria"/>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Textedelespacerserv">
    <w:name w:val="Placeholder Text"/>
    <w:basedOn w:val="Policepardfaut"/>
    <w:uiPriority w:val="99"/>
    <w:semiHidden/>
    <w:rsid w:val="00EB00F0"/>
    <w:rPr>
      <w:color w:val="666666"/>
    </w:rPr>
  </w:style>
  <w:style w:type="paragraph" w:styleId="Sansinterligne">
    <w:name w:val="No Spacing"/>
    <w:uiPriority w:val="1"/>
    <w:qFormat/>
    <w:rsid w:val="008600AF"/>
    <w:pPr>
      <w:spacing w:after="0" w:line="240" w:lineRule="auto"/>
      <w:ind w:left="1057" w:right="2" w:hanging="10"/>
      <w:jc w:val="both"/>
    </w:pPr>
    <w:rPr>
      <w:rFonts w:ascii="Cambria" w:eastAsia="Cambria" w:hAnsi="Cambria" w:cs="Cambria"/>
      <w:color w:val="000000"/>
      <w:sz w:val="22"/>
    </w:rPr>
  </w:style>
  <w:style w:type="paragraph" w:styleId="Paragraphedeliste">
    <w:name w:val="List Paragraph"/>
    <w:basedOn w:val="Normal"/>
    <w:uiPriority w:val="34"/>
    <w:qFormat/>
    <w:rsid w:val="008600AF"/>
    <w:pPr>
      <w:ind w:left="720"/>
      <w:contextualSpacing/>
    </w:pPr>
  </w:style>
  <w:style w:type="table" w:styleId="Grilledutableau">
    <w:name w:val="Table Grid"/>
    <w:basedOn w:val="TableauNormal"/>
    <w:uiPriority w:val="39"/>
    <w:rsid w:val="00860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iocanada.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iocanada.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lautorite.qc.ca/" TargetMode="External"/><Relationship Id="rId4" Type="http://schemas.openxmlformats.org/officeDocument/2006/relationships/webSettings" Target="webSettings.xml"/><Relationship Id="rId9" Type="http://schemas.openxmlformats.org/officeDocument/2006/relationships/hyperlink" Target="http://www.lautorite.qc.c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1186</Words>
  <Characters>6529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10 janvier 2005</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janvier 2005</dc:title>
  <dc:subject/>
  <dc:creator>Matthew Cook</dc:creator>
  <cp:keywords/>
  <cp:lastModifiedBy>Compliance (AIE) and Privacy</cp:lastModifiedBy>
  <cp:revision>13</cp:revision>
  <dcterms:created xsi:type="dcterms:W3CDTF">2024-06-04T06:29:00Z</dcterms:created>
  <dcterms:modified xsi:type="dcterms:W3CDTF">2024-06-04T08:46:00Z</dcterms:modified>
</cp:coreProperties>
</file>